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8293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1F56B1"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" strokecolor="black [3200]" strokeweight=".5pt">
                <v:stroke joinstyle="miter"/>
                <w10:wrap anchorx="margin"/>
              </v:line>
            </w:pict>
          </mc:Fallback>
        </mc:AlternateContent>
      </w:r>
      <w:r w:rsidR="00172C09">
        <w:t>Policy Title:</w:t>
      </w:r>
      <w:r w:rsidR="00A15F4C">
        <w:t xml:space="preserve"> </w:t>
      </w:r>
      <w:r w:rsidR="001D1032" w:rsidRPr="00DA2074">
        <w:rPr>
          <w:b/>
        </w:rPr>
        <w:t>Board Appointed Committees</w:t>
      </w:r>
      <w:r w:rsidR="009F1797">
        <w:tab/>
      </w:r>
      <w:r w:rsidR="009F1797">
        <w:tab/>
      </w:r>
      <w:r w:rsidR="009F1797">
        <w:tab/>
      </w:r>
      <w:r w:rsidR="009F1797">
        <w:tab/>
      </w:r>
      <w:r w:rsidR="00DA2074">
        <w:tab/>
      </w:r>
      <w:r w:rsidR="00172C09">
        <w:t>Policy Code No</w:t>
      </w:r>
      <w:r w:rsidR="00172C09" w:rsidRPr="00DA2074">
        <w:t xml:space="preserve">. </w:t>
      </w:r>
      <w:r w:rsidR="00A15F4C" w:rsidRPr="00DA2074">
        <w:t xml:space="preserve"> </w:t>
      </w:r>
      <w:r w:rsidR="00000844" w:rsidRPr="00DA2074">
        <w:t>208</w:t>
      </w:r>
      <w:r w:rsidR="009425BC" w:rsidRPr="00DA2074">
        <w:t xml:space="preserve">      </w:t>
      </w:r>
    </w:p>
    <w:p w:rsidR="00172C09" w:rsidRDefault="00172C09"/>
    <w:p w:rsidR="00946200" w:rsidRPr="00DA2074" w:rsidRDefault="00946200" w:rsidP="00946200">
      <w:pPr>
        <w:pStyle w:val="ConvertStyle54"/>
        <w:rPr>
          <w:rFonts w:ascii="Times New Roman" w:hAnsi="Times New Roman"/>
          <w:sz w:val="22"/>
          <w:szCs w:val="22"/>
        </w:rPr>
      </w:pPr>
      <w:r w:rsidRPr="00DA2074">
        <w:rPr>
          <w:rFonts w:ascii="Times New Roman" w:hAnsi="Times New Roman"/>
          <w:sz w:val="22"/>
          <w:szCs w:val="22"/>
        </w:rPr>
        <w:t>Whenever the board deems it necessary, the board may appoint a committee composed of citizens, employees or students to assist the board.  Committees formed by the board are ad hoc committees.</w:t>
      </w:r>
    </w:p>
    <w:p w:rsidR="00946200" w:rsidRPr="00DA2074" w:rsidRDefault="00946200" w:rsidP="00946200">
      <w:pPr>
        <w:pStyle w:val="ConvertStyle54"/>
        <w:rPr>
          <w:rFonts w:ascii="Times New Roman" w:hAnsi="Times New Roman"/>
          <w:sz w:val="22"/>
          <w:szCs w:val="22"/>
        </w:rPr>
      </w:pPr>
    </w:p>
    <w:p w:rsidR="00946200" w:rsidRPr="00DA2074" w:rsidRDefault="00946200" w:rsidP="00946200">
      <w:pPr>
        <w:pStyle w:val="ConvertStyle54"/>
        <w:rPr>
          <w:rFonts w:ascii="Times New Roman" w:hAnsi="Times New Roman"/>
          <w:sz w:val="22"/>
          <w:szCs w:val="22"/>
        </w:rPr>
      </w:pPr>
      <w:r w:rsidRPr="00DA2074">
        <w:rPr>
          <w:rFonts w:ascii="Times New Roman" w:hAnsi="Times New Roman"/>
          <w:sz w:val="22"/>
          <w:szCs w:val="22"/>
        </w:rPr>
        <w:t>An ad hoc committee may be formed by board resolution which will outline the duties and purpose of the committee.  The committee is advisory in nature and has no duty or responsibility other than that specifically stated in the board resolution.  The committee will automatically dissolve upon the delivery of its final recommendation to the board or upon completion of the duties outlined in the board resolution.  The board will receive the report of the committee for consideration.  The board retains the authority to make a final decision on the issue.  The committee may be subject to the open meetings law.</w:t>
      </w:r>
    </w:p>
    <w:p w:rsidR="00946200" w:rsidRPr="00DA2074" w:rsidRDefault="00946200" w:rsidP="00946200">
      <w:pPr>
        <w:pStyle w:val="ConvertStyle54"/>
        <w:rPr>
          <w:rFonts w:ascii="Times New Roman" w:hAnsi="Times New Roman"/>
          <w:sz w:val="22"/>
          <w:szCs w:val="22"/>
        </w:rPr>
      </w:pPr>
    </w:p>
    <w:p w:rsidR="00946200" w:rsidRPr="00DA2074" w:rsidRDefault="00946200" w:rsidP="00946200">
      <w:pPr>
        <w:pStyle w:val="ConvertStyle54"/>
        <w:rPr>
          <w:rFonts w:ascii="Times New Roman" w:hAnsi="Times New Roman"/>
          <w:sz w:val="22"/>
          <w:szCs w:val="22"/>
        </w:rPr>
      </w:pPr>
      <w:r w:rsidRPr="00DA2074">
        <w:rPr>
          <w:rFonts w:ascii="Times New Roman" w:hAnsi="Times New Roman"/>
          <w:sz w:val="22"/>
          <w:szCs w:val="22"/>
        </w:rPr>
        <w:t>The method for selection of committee members will be stated in the board resolution.  When possible, and when the necessary expertise required allows, the committee members will be representative of the school district community and will consider the various viewpoints on the issue.  The board may designate a board member and the superintendent to serve on an ad hoc committee.  The committee will select its own chairperson, unless the board designates otherwise.</w:t>
      </w:r>
    </w:p>
    <w:p w:rsidR="00A15F4C" w:rsidRDefault="009425BC" w:rsidP="009F1797">
      <w:pPr>
        <w:jc w:val="both"/>
      </w:pPr>
      <w:r>
        <w:cr/>
        <w:t xml:space="preserve"> Board appointed committees are subject to the requirements of the open meetings’ law.  Board appointed committees do not have to publish their minutes as this is not an open meetings’ law requirement.</w:t>
      </w:r>
      <w:r>
        <w:cr/>
        <w:t xml:space="preserve"> </w:t>
      </w:r>
      <w:r>
        <w:cr/>
        <w:t xml:space="preserve"> </w:t>
      </w:r>
      <w:bookmarkStart w:id="0" w:name="_GoBack"/>
      <w:bookmarkEnd w:id="0"/>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9425BC">
            <w:r>
              <w:t>03/01/1992</w:t>
            </w:r>
          </w:p>
        </w:tc>
      </w:tr>
      <w:tr w:rsidR="00172C09" w:rsidTr="002C165E">
        <w:trPr>
          <w:trHeight w:val="292"/>
        </w:trPr>
        <w:tc>
          <w:tcPr>
            <w:tcW w:w="2157" w:type="dxa"/>
          </w:tcPr>
          <w:p w:rsidR="00172C09" w:rsidRDefault="00172C09">
            <w:r>
              <w:t>Review Date</w:t>
            </w:r>
          </w:p>
        </w:tc>
        <w:tc>
          <w:tcPr>
            <w:tcW w:w="5083" w:type="dxa"/>
          </w:tcPr>
          <w:p w:rsidR="00172C09" w:rsidRDefault="00DA2074">
            <w:r w:rsidRPr="00DA2074">
              <w:rPr>
                <w:rFonts w:ascii="Calibri" w:eastAsia="Calibri" w:hAnsi="Calibri" w:cs="Times New Roman"/>
              </w:rPr>
              <w:t>02/22/2016</w:t>
            </w:r>
          </w:p>
        </w:tc>
      </w:tr>
      <w:tr w:rsidR="00172C09" w:rsidTr="002C165E">
        <w:trPr>
          <w:trHeight w:val="292"/>
        </w:trPr>
        <w:tc>
          <w:tcPr>
            <w:tcW w:w="2157" w:type="dxa"/>
          </w:tcPr>
          <w:p w:rsidR="00172C09" w:rsidRDefault="00172C09">
            <w:r>
              <w:t>Revision Date</w:t>
            </w:r>
          </w:p>
        </w:tc>
        <w:tc>
          <w:tcPr>
            <w:tcW w:w="5083" w:type="dxa"/>
          </w:tcPr>
          <w:p w:rsidR="00172C09" w:rsidRDefault="00DA2074">
            <w:r w:rsidRPr="00DA2074">
              <w:rPr>
                <w:rFonts w:ascii="Calibri" w:eastAsia="Calibri" w:hAnsi="Calibri" w:cs="Times New Roman"/>
              </w:rPr>
              <w:t>02/22/2016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 xml:space="preserve">Iowa Code §§ 21; 279.8; 280.12(2) </w:t>
            </w:r>
            <w:r>
              <w:rPr>
                <w:rFonts w:ascii="Times New Roman" w:hAnsi="Times New Roman"/>
                <w:sz w:val="22"/>
                <w:szCs w:val="22"/>
              </w:rPr>
              <w:t>(2013)</w:t>
            </w:r>
            <w:r w:rsidRPr="00D11304">
              <w:rPr>
                <w:rFonts w:ascii="Times New Roman" w:hAnsi="Times New Roman"/>
                <w:sz w:val="22"/>
                <w:szCs w:val="22"/>
              </w:rPr>
              <w:t>.</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281 I.A.C. 12.3(3), .3(8); .5(8).</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O.A.G., Nov. 18, 1993</w:t>
            </w:r>
          </w:p>
          <w:p w:rsidR="00172C09" w:rsidRDefault="00172C09"/>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103</w:t>
            </w:r>
            <w:r>
              <w:rPr>
                <w:rFonts w:ascii="Times New Roman" w:hAnsi="Times New Roman"/>
                <w:sz w:val="22"/>
                <w:szCs w:val="22"/>
              </w:rPr>
              <w:t xml:space="preserve">    </w:t>
            </w:r>
            <w:r w:rsidRPr="00D11304">
              <w:rPr>
                <w:rFonts w:ascii="Times New Roman" w:hAnsi="Times New Roman"/>
                <w:sz w:val="22"/>
                <w:szCs w:val="22"/>
              </w:rPr>
              <w:t>Long-Range Needs Assessment</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211</w:t>
            </w:r>
            <w:r>
              <w:rPr>
                <w:rFonts w:ascii="Times New Roman" w:hAnsi="Times New Roman"/>
                <w:sz w:val="22"/>
                <w:szCs w:val="22"/>
              </w:rPr>
              <w:t xml:space="preserve">    </w:t>
            </w:r>
            <w:r w:rsidRPr="00D11304">
              <w:rPr>
                <w:rFonts w:ascii="Times New Roman" w:hAnsi="Times New Roman"/>
                <w:sz w:val="22"/>
                <w:szCs w:val="22"/>
              </w:rPr>
              <w:t>Open Meetings</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212</w:t>
            </w:r>
            <w:r>
              <w:rPr>
                <w:rFonts w:ascii="Times New Roman" w:hAnsi="Times New Roman"/>
                <w:sz w:val="22"/>
                <w:szCs w:val="22"/>
              </w:rPr>
              <w:t xml:space="preserve">    </w:t>
            </w:r>
            <w:r w:rsidRPr="00D11304">
              <w:rPr>
                <w:rFonts w:ascii="Times New Roman" w:hAnsi="Times New Roman"/>
                <w:sz w:val="22"/>
                <w:szCs w:val="22"/>
              </w:rPr>
              <w:t>Closed Sessions</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215</w:t>
            </w:r>
            <w:r>
              <w:rPr>
                <w:rFonts w:ascii="Times New Roman" w:hAnsi="Times New Roman"/>
                <w:sz w:val="22"/>
                <w:szCs w:val="22"/>
              </w:rPr>
              <w:t xml:space="preserve">    </w:t>
            </w:r>
            <w:r w:rsidRPr="00D11304">
              <w:rPr>
                <w:rFonts w:ascii="Times New Roman" w:hAnsi="Times New Roman"/>
                <w:sz w:val="22"/>
                <w:szCs w:val="22"/>
              </w:rPr>
              <w:t>Board of Directors' Records</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605.1</w:t>
            </w:r>
            <w:r>
              <w:rPr>
                <w:rFonts w:ascii="Times New Roman" w:hAnsi="Times New Roman"/>
                <w:sz w:val="22"/>
                <w:szCs w:val="22"/>
              </w:rPr>
              <w:t xml:space="preserve"> </w:t>
            </w:r>
            <w:r w:rsidRPr="00D11304">
              <w:rPr>
                <w:rFonts w:ascii="Times New Roman" w:hAnsi="Times New Roman"/>
                <w:sz w:val="22"/>
                <w:szCs w:val="22"/>
              </w:rPr>
              <w:t>Instructional Materials Selection</w:t>
            </w:r>
          </w:p>
          <w:p w:rsidR="00946200" w:rsidRPr="00D11304" w:rsidRDefault="00946200" w:rsidP="00946200">
            <w:pPr>
              <w:pStyle w:val="ConvertStyle54"/>
              <w:tabs>
                <w:tab w:val="clear" w:pos="480"/>
                <w:tab w:val="clear" w:pos="1080"/>
                <w:tab w:val="clear" w:pos="1680"/>
                <w:tab w:val="clear" w:pos="2280"/>
                <w:tab w:val="clear" w:pos="4680"/>
                <w:tab w:val="clear" w:pos="7080"/>
                <w:tab w:val="clear" w:pos="9360"/>
                <w:tab w:val="left" w:pos="2160"/>
                <w:tab w:val="left" w:pos="2880"/>
              </w:tabs>
              <w:rPr>
                <w:rFonts w:ascii="Times New Roman" w:hAnsi="Times New Roman"/>
                <w:sz w:val="22"/>
                <w:szCs w:val="22"/>
              </w:rPr>
            </w:pPr>
            <w:r w:rsidRPr="00D11304">
              <w:rPr>
                <w:rFonts w:ascii="Times New Roman" w:hAnsi="Times New Roman"/>
                <w:sz w:val="22"/>
                <w:szCs w:val="22"/>
              </w:rPr>
              <w:t>900</w:t>
            </w:r>
            <w:r>
              <w:rPr>
                <w:rFonts w:ascii="Times New Roman" w:hAnsi="Times New Roman"/>
                <w:sz w:val="22"/>
                <w:szCs w:val="22"/>
              </w:rPr>
              <w:t xml:space="preserve">     </w:t>
            </w:r>
            <w:r w:rsidRPr="00D11304">
              <w:rPr>
                <w:rFonts w:ascii="Times New Roman" w:hAnsi="Times New Roman"/>
                <w:sz w:val="22"/>
                <w:szCs w:val="22"/>
              </w:rPr>
              <w:t>Principles and Objectives for Community Relations</w:t>
            </w:r>
          </w:p>
          <w:p w:rsidR="00172C09" w:rsidRDefault="00172C09"/>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1B" w:rsidRDefault="0075581B" w:rsidP="00172C09">
      <w:pPr>
        <w:spacing w:after="0" w:line="240" w:lineRule="auto"/>
      </w:pPr>
      <w:r>
        <w:separator/>
      </w:r>
    </w:p>
  </w:endnote>
  <w:endnote w:type="continuationSeparator" w:id="0">
    <w:p w:rsidR="0075581B" w:rsidRDefault="0075581B"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1D1032">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1B" w:rsidRDefault="0075581B" w:rsidP="00172C09">
      <w:pPr>
        <w:spacing w:after="0" w:line="240" w:lineRule="auto"/>
      </w:pPr>
      <w:r>
        <w:separator/>
      </w:r>
    </w:p>
  </w:footnote>
  <w:footnote w:type="continuationSeparator" w:id="0">
    <w:p w:rsidR="0075581B" w:rsidRDefault="0075581B"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00844"/>
    <w:rsid w:val="000A181E"/>
    <w:rsid w:val="00120EAC"/>
    <w:rsid w:val="00130EAA"/>
    <w:rsid w:val="00141C90"/>
    <w:rsid w:val="00172C09"/>
    <w:rsid w:val="001D1032"/>
    <w:rsid w:val="00211F73"/>
    <w:rsid w:val="0021374E"/>
    <w:rsid w:val="002C165E"/>
    <w:rsid w:val="00314998"/>
    <w:rsid w:val="003758ED"/>
    <w:rsid w:val="004D162C"/>
    <w:rsid w:val="00570EA0"/>
    <w:rsid w:val="00650AA3"/>
    <w:rsid w:val="00681C71"/>
    <w:rsid w:val="006D5BF1"/>
    <w:rsid w:val="0075581B"/>
    <w:rsid w:val="0077296A"/>
    <w:rsid w:val="007B2BBC"/>
    <w:rsid w:val="009425BC"/>
    <w:rsid w:val="00946200"/>
    <w:rsid w:val="009F1797"/>
    <w:rsid w:val="00A15F4C"/>
    <w:rsid w:val="00A213FE"/>
    <w:rsid w:val="00A748C3"/>
    <w:rsid w:val="00AC2FFD"/>
    <w:rsid w:val="00AD7770"/>
    <w:rsid w:val="00B421F3"/>
    <w:rsid w:val="00D27AAE"/>
    <w:rsid w:val="00D6289C"/>
    <w:rsid w:val="00DA2074"/>
    <w:rsid w:val="00E06C6A"/>
    <w:rsid w:val="00E814E9"/>
    <w:rsid w:val="00EE5DE5"/>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4">
    <w:name w:val="ConvertStyle54"/>
    <w:basedOn w:val="Normal"/>
    <w:rsid w:val="00946200"/>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4">
    <w:name w:val="ConvertStyle54"/>
    <w:basedOn w:val="Normal"/>
    <w:rsid w:val="00946200"/>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6</cp:revision>
  <dcterms:created xsi:type="dcterms:W3CDTF">2014-02-24T15:54:00Z</dcterms:created>
  <dcterms:modified xsi:type="dcterms:W3CDTF">2016-04-27T13:53:00Z</dcterms:modified>
</cp:coreProperties>
</file>